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ELEKTRONİK ACENTALIK SÖZLEŞMESİ</w:t>
      </w:r>
    </w:p>
    <w:p>
      <w:pPr>
        <w:keepLines/>
        <w:spacing w:after="120"/>
        <w:jc w:val="center"/>
      </w:pPr>
      <w:r>
        <w:t>United Tours İzmir B2B Tur ve Cruise Satış Ağı</w:t>
      </w:r>
    </w:p>
    <w:p>
      <w:pPr>
        <w:keepLines/>
        <w:spacing w:after="120"/>
      </w:pPr>
      <w:r>
        <w:rPr>
          <w:i/>
          <w:color w:val="555555"/>
          <w:sz w:val="18"/>
        </w:rPr>
        <w:t>İmza öncesi not: Bu metin United Tours İzmir B2B tur, cruise, konaklama ve uçak/ulaşım satış ağı için hazırlanmıştır. Aşağıdaki E Acente alanları imza öncesinde eksiksiz doldurulur.</w:t>
      </w:r>
    </w:p>
    <w:p>
      <w:pPr>
        <w:pStyle w:val="Heading1"/>
        <w:keepNext/>
      </w:pPr>
      <w:r>
        <w:t>Taraf Bilgileri</w:t>
      </w:r>
    </w:p>
    <w:tbl>
      <w:tblPr>
        <w:tblW w:type="auto" w:w="0"/>
        <w:jc w:val="center"/>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929"/>
        <w:gridCol w:w="4929"/>
      </w:tblGrid>
      <w:tr>
        <w:tc>
          <w:tcPr>
            <w:tcW w:type="dxa" w:w="4929"/>
            <w:vAlign w:val="center"/>
            <w:shd w:fill="F2F4F6"/>
          </w:tcPr>
          <w:p>
            <w:pPr>
              <w:spacing w:after="40" w:before="40"/>
            </w:pPr>
            <w:r/>
            <w:r>
              <w:rPr>
                <w:rFonts w:ascii="Aptos" w:hAnsi="Aptos"/>
                <w:b/>
                <w:sz w:val="19"/>
              </w:rPr>
              <w:t>Sistem Sağlayıcı</w:t>
            </w:r>
          </w:p>
        </w:tc>
        <w:tc>
          <w:tcPr>
            <w:tcW w:type="dxa" w:w="4929"/>
            <w:vAlign w:val="center"/>
          </w:tcPr>
          <w:p>
            <w:pPr>
              <w:spacing w:after="40" w:before="40"/>
            </w:pPr>
            <w:r/>
            <w:r>
              <w:rPr>
                <w:rFonts w:ascii="Aptos" w:hAnsi="Aptos"/>
                <w:b w:val="0"/>
                <w:sz w:val="19"/>
              </w:rPr>
              <w:t>SY Seyahat Yaşam Turizm Organizasyon Sanayi ve Ticaret Limited Şirketi</w:t>
              <w:br/>
              <w:t>United Tours İzmir markası</w:t>
              <w:br/>
              <w:t>Tuna Mahallesi 1690 Sokak No 48/202 Karşıyaka İzmir</w:t>
              <w:br/>
              <w:t>Karşıyaka Vergi Dairesi | VKN 7840331322</w:t>
              <w:br/>
              <w:t>MERSİS 0784033132200014 | KEP syseyahat@hs01.kep.tr</w:t>
              <w:br/>
              <w:t>TÜRSAB Belge No 10467</w:t>
            </w:r>
          </w:p>
        </w:tc>
      </w:tr>
    </w:tbl>
    <w:p/>
    <w:tbl>
      <w:tblPr>
        <w:tblW w:type="auto" w:w="0"/>
        <w:jc w:val="center"/>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929"/>
        <w:gridCol w:w="4929"/>
      </w:tblGrid>
      <w:tr>
        <w:tc>
          <w:tcPr>
            <w:tcW w:type="dxa" w:w="4929"/>
            <w:vAlign w:val="center"/>
            <w:shd w:fill="F2F4F6"/>
          </w:tcPr>
          <w:p>
            <w:pPr>
              <w:spacing w:after="40" w:before="40"/>
            </w:pPr>
            <w:r/>
            <w:r>
              <w:rPr>
                <w:rFonts w:ascii="Aptos" w:hAnsi="Aptos"/>
                <w:b/>
                <w:sz w:val="19"/>
              </w:rPr>
              <w:t>E ACENTE BİLGİLERİ</w:t>
            </w:r>
          </w:p>
        </w:tc>
        <w:tc>
          <w:tcPr>
            <w:tcW w:type="dxa" w:w="4929"/>
            <w:vAlign w:val="center"/>
          </w:tcPr>
          <w:p>
            <w:pPr>
              <w:spacing w:after="40" w:before="40"/>
            </w:pPr>
            <w:r/>
            <w:r>
              <w:rPr>
                <w:rFonts w:ascii="Aptos" w:hAnsi="Aptos"/>
                <w:b w:val="0"/>
                <w:sz w:val="19"/>
              </w:rPr>
              <w:t>İmza öncesinde doldurulacaktır.</w:t>
            </w:r>
          </w:p>
        </w:tc>
      </w:tr>
      <w:tr>
        <w:tc>
          <w:tcPr>
            <w:tcW w:type="dxa" w:w="4929"/>
            <w:vAlign w:val="center"/>
            <w:shd w:fill="F2F4F6"/>
          </w:tcPr>
          <w:p>
            <w:pPr>
              <w:spacing w:after="40" w:before="40"/>
            </w:pPr>
            <w:r/>
            <w:r>
              <w:rPr>
                <w:rFonts w:ascii="Aptos" w:hAnsi="Aptos"/>
                <w:b/>
                <w:sz w:val="19"/>
              </w:rPr>
              <w:t>Ticari Unvan</w:t>
            </w:r>
          </w:p>
        </w:tc>
        <w:tc>
          <w:tcPr>
            <w:tcW w:type="dxa" w:w="4929"/>
            <w:vAlign w:val="center"/>
          </w:tcPr>
          <w:p>
            <w:pPr>
              <w:spacing w:after="40" w:before="40"/>
            </w:pPr>
            <w:r/>
            <w:r>
              <w:rPr>
                <w:rFonts w:ascii="Aptos" w:hAnsi="Aptos"/>
                <w:b w:val="0"/>
                <w:sz w:val="19"/>
              </w:rPr>
              <w:t>................................................................................................................................</w:t>
            </w:r>
          </w:p>
        </w:tc>
      </w:tr>
      <w:tr>
        <w:tc>
          <w:tcPr>
            <w:tcW w:type="dxa" w:w="4929"/>
            <w:vAlign w:val="center"/>
            <w:shd w:fill="F2F4F6"/>
          </w:tcPr>
          <w:p>
            <w:pPr>
              <w:spacing w:after="40" w:before="40"/>
            </w:pPr>
            <w:r/>
            <w:r>
              <w:rPr>
                <w:rFonts w:ascii="Aptos" w:hAnsi="Aptos"/>
                <w:b/>
                <w:sz w:val="19"/>
              </w:rPr>
              <w:t>Acente Adı / Marka</w:t>
            </w:r>
          </w:p>
        </w:tc>
        <w:tc>
          <w:tcPr>
            <w:tcW w:type="dxa" w:w="4929"/>
            <w:vAlign w:val="center"/>
          </w:tcPr>
          <w:p>
            <w:pPr>
              <w:spacing w:after="40" w:before="40"/>
            </w:pPr>
            <w:r/>
            <w:r>
              <w:rPr>
                <w:rFonts w:ascii="Aptos" w:hAnsi="Aptos"/>
                <w:b w:val="0"/>
                <w:sz w:val="19"/>
              </w:rPr>
              <w:t>................................................................................................................................</w:t>
            </w:r>
          </w:p>
        </w:tc>
      </w:tr>
      <w:tr>
        <w:tc>
          <w:tcPr>
            <w:tcW w:type="dxa" w:w="4929"/>
            <w:vAlign w:val="center"/>
            <w:shd w:fill="F2F4F6"/>
          </w:tcPr>
          <w:p>
            <w:pPr>
              <w:spacing w:after="40" w:before="40"/>
            </w:pPr>
            <w:r/>
            <w:r>
              <w:rPr>
                <w:rFonts w:ascii="Aptos" w:hAnsi="Aptos"/>
                <w:b/>
                <w:sz w:val="19"/>
              </w:rPr>
              <w:t>TÜRSAB Belge No</w:t>
            </w:r>
          </w:p>
        </w:tc>
        <w:tc>
          <w:tcPr>
            <w:tcW w:type="dxa" w:w="4929"/>
            <w:vAlign w:val="center"/>
          </w:tcPr>
          <w:p>
            <w:pPr>
              <w:spacing w:after="40" w:before="40"/>
            </w:pPr>
            <w:r/>
            <w:r>
              <w:rPr>
                <w:rFonts w:ascii="Aptos" w:hAnsi="Aptos"/>
                <w:b w:val="0"/>
                <w:sz w:val="19"/>
              </w:rPr>
              <w:t>................................................................................................................................</w:t>
            </w:r>
          </w:p>
        </w:tc>
      </w:tr>
      <w:tr>
        <w:tc>
          <w:tcPr>
            <w:tcW w:type="dxa" w:w="4929"/>
            <w:vAlign w:val="center"/>
            <w:shd w:fill="F2F4F6"/>
          </w:tcPr>
          <w:p>
            <w:pPr>
              <w:spacing w:after="40" w:before="40"/>
            </w:pPr>
            <w:r/>
            <w:r>
              <w:rPr>
                <w:rFonts w:ascii="Aptos" w:hAnsi="Aptos"/>
                <w:b/>
                <w:sz w:val="19"/>
              </w:rPr>
              <w:t>Vergi Dairesi / Vergi No</w:t>
            </w:r>
          </w:p>
        </w:tc>
        <w:tc>
          <w:tcPr>
            <w:tcW w:type="dxa" w:w="4929"/>
            <w:vAlign w:val="center"/>
          </w:tcPr>
          <w:p>
            <w:pPr>
              <w:spacing w:after="40" w:before="40"/>
            </w:pPr>
            <w:r/>
            <w:r>
              <w:rPr>
                <w:rFonts w:ascii="Aptos" w:hAnsi="Aptos"/>
                <w:b w:val="0"/>
                <w:sz w:val="19"/>
              </w:rPr>
              <w:t>................................................................................................................................</w:t>
            </w:r>
          </w:p>
        </w:tc>
      </w:tr>
      <w:tr>
        <w:tc>
          <w:tcPr>
            <w:tcW w:type="dxa" w:w="4929"/>
            <w:vAlign w:val="center"/>
            <w:shd w:fill="F2F4F6"/>
          </w:tcPr>
          <w:p>
            <w:pPr>
              <w:spacing w:after="40" w:before="40"/>
            </w:pPr>
            <w:r/>
            <w:r>
              <w:rPr>
                <w:rFonts w:ascii="Aptos" w:hAnsi="Aptos"/>
                <w:b/>
                <w:sz w:val="19"/>
              </w:rPr>
              <w:t>MERSİS No</w:t>
            </w:r>
          </w:p>
        </w:tc>
        <w:tc>
          <w:tcPr>
            <w:tcW w:type="dxa" w:w="4929"/>
            <w:vAlign w:val="center"/>
          </w:tcPr>
          <w:p>
            <w:pPr>
              <w:spacing w:after="40" w:before="40"/>
            </w:pPr>
            <w:r/>
            <w:r>
              <w:rPr>
                <w:rFonts w:ascii="Aptos" w:hAnsi="Aptos"/>
                <w:b w:val="0"/>
                <w:sz w:val="19"/>
              </w:rPr>
              <w:t>................................................................................................................................</w:t>
            </w:r>
          </w:p>
        </w:tc>
      </w:tr>
      <w:tr>
        <w:tc>
          <w:tcPr>
            <w:tcW w:type="dxa" w:w="4929"/>
            <w:vAlign w:val="center"/>
            <w:shd w:fill="F2F4F6"/>
          </w:tcPr>
          <w:p>
            <w:pPr>
              <w:spacing w:after="40" w:before="40"/>
            </w:pPr>
            <w:r/>
            <w:r>
              <w:rPr>
                <w:rFonts w:ascii="Aptos" w:hAnsi="Aptos"/>
                <w:b/>
                <w:sz w:val="19"/>
              </w:rPr>
              <w:t>Merkez Adresi</w:t>
            </w:r>
          </w:p>
        </w:tc>
        <w:tc>
          <w:tcPr>
            <w:tcW w:type="dxa" w:w="4929"/>
            <w:vAlign w:val="center"/>
          </w:tcPr>
          <w:p>
            <w:pPr>
              <w:spacing w:after="40" w:before="40"/>
            </w:pPr>
            <w:r/>
            <w:r>
              <w:rPr>
                <w:rFonts w:ascii="Aptos" w:hAnsi="Aptos"/>
                <w:b w:val="0"/>
                <w:sz w:val="19"/>
              </w:rPr>
              <w:t>................................................................................................................................</w:t>
              <w:br/>
              <w:t>................................................................................................................................</w:t>
            </w:r>
          </w:p>
        </w:tc>
      </w:tr>
      <w:tr>
        <w:tc>
          <w:tcPr>
            <w:tcW w:type="dxa" w:w="4929"/>
            <w:vAlign w:val="center"/>
            <w:shd w:fill="F2F4F6"/>
          </w:tcPr>
          <w:p>
            <w:pPr>
              <w:spacing w:after="40" w:before="40"/>
            </w:pPr>
            <w:r/>
            <w:r>
              <w:rPr>
                <w:rFonts w:ascii="Aptos" w:hAnsi="Aptos"/>
                <w:b/>
                <w:sz w:val="19"/>
              </w:rPr>
              <w:t>Yetkili Kişi Ad Soyad / Ünvan</w:t>
            </w:r>
          </w:p>
        </w:tc>
        <w:tc>
          <w:tcPr>
            <w:tcW w:type="dxa" w:w="4929"/>
            <w:vAlign w:val="center"/>
          </w:tcPr>
          <w:p>
            <w:pPr>
              <w:spacing w:after="40" w:before="40"/>
            </w:pPr>
            <w:r/>
            <w:r>
              <w:rPr>
                <w:rFonts w:ascii="Aptos" w:hAnsi="Aptos"/>
                <w:b w:val="0"/>
                <w:sz w:val="19"/>
              </w:rPr>
              <w:t>................................................................................................................................</w:t>
            </w:r>
          </w:p>
        </w:tc>
      </w:tr>
      <w:tr>
        <w:tc>
          <w:tcPr>
            <w:tcW w:type="dxa" w:w="4929"/>
            <w:vAlign w:val="center"/>
            <w:shd w:fill="F2F4F6"/>
          </w:tcPr>
          <w:p>
            <w:pPr>
              <w:spacing w:after="40" w:before="40"/>
            </w:pPr>
            <w:r/>
            <w:r>
              <w:rPr>
                <w:rFonts w:ascii="Aptos" w:hAnsi="Aptos"/>
                <w:b/>
                <w:sz w:val="19"/>
              </w:rPr>
              <w:t>Telefon / E-posta / KEP</w:t>
            </w:r>
          </w:p>
        </w:tc>
        <w:tc>
          <w:tcPr>
            <w:tcW w:type="dxa" w:w="4929"/>
            <w:vAlign w:val="center"/>
          </w:tcPr>
          <w:p>
            <w:pPr>
              <w:spacing w:after="40" w:before="40"/>
            </w:pPr>
            <w:r/>
            <w:r>
              <w:rPr>
                <w:rFonts w:ascii="Aptos" w:hAnsi="Aptos"/>
                <w:b w:val="0"/>
                <w:sz w:val="19"/>
              </w:rPr>
              <w:t>................................................................................................................................</w:t>
            </w:r>
          </w:p>
        </w:tc>
      </w:tr>
      <w:tr>
        <w:tc>
          <w:tcPr>
            <w:tcW w:type="dxa" w:w="4929"/>
            <w:vAlign w:val="center"/>
            <w:shd w:fill="F2F4F6"/>
          </w:tcPr>
          <w:p>
            <w:pPr>
              <w:spacing w:after="40" w:before="40"/>
            </w:pPr>
            <w:r/>
            <w:r>
              <w:rPr>
                <w:rFonts w:ascii="Aptos" w:hAnsi="Aptos"/>
                <w:b/>
                <w:sz w:val="19"/>
              </w:rPr>
              <w:t>Sözleşme Tarihi</w:t>
            </w:r>
          </w:p>
        </w:tc>
        <w:tc>
          <w:tcPr>
            <w:tcW w:type="dxa" w:w="4929"/>
            <w:vAlign w:val="center"/>
          </w:tcPr>
          <w:p>
            <w:pPr>
              <w:spacing w:after="40" w:before="40"/>
            </w:pPr>
            <w:r/>
            <w:r>
              <w:rPr>
                <w:rFonts w:ascii="Aptos" w:hAnsi="Aptos"/>
                <w:b w:val="0"/>
                <w:sz w:val="19"/>
              </w:rPr>
              <w:t>................................................................................................................................</w:t>
            </w:r>
          </w:p>
        </w:tc>
      </w:tr>
    </w:tbl>
    <w:p/>
    <w:p>
      <w:pPr>
        <w:keepLines/>
        <w:spacing w:after="120"/>
      </w:pPr>
      <w:r>
        <w:t>İşbu Elektronik Acentalık Sözleşmesi (“Sözleşme”), yukarıda bilgileri yer alan Sistem Sağlayıcı ile E Acente arasında aşağıdaki koşullarla kurulmuştur.</w:t>
      </w:r>
    </w:p>
    <w:p>
      <w:pPr>
        <w:pStyle w:val="Heading1"/>
        <w:keepNext/>
      </w:pPr>
      <w:r>
        <w:t>Madde 1 - Tanımlar</w:t>
      </w:r>
    </w:p>
    <w:p>
      <w:pPr>
        <w:pStyle w:val="ListBullet"/>
      </w:pPr>
      <w:r>
        <w:t>Platform: United Tours İzmir tarafından işletilen B2B tur, cruise, rezervasyon, satış, operasyon ve raporlama altyapısıdır.</w:t>
      </w:r>
    </w:p>
    <w:p>
      <w:pPr>
        <w:pStyle w:val="ListBullet"/>
      </w:pPr>
      <w:r>
        <w:t>Ürün: Platformda satışa açılmış paket tur, cruise, kabin, konaklama, transfer, vize, sigorta, uçak bileti/ulaşım ve benzeri seyahat hizmetleridir.</w:t>
      </w:r>
    </w:p>
    <w:p>
      <w:pPr>
        <w:pStyle w:val="ListBullet"/>
      </w:pPr>
      <w:r>
        <w:t>Sağlayıcı: Ürünü düzenleyen veya tedarik eden seyahat acentesi, cruise hattı, taşıyıcı, otel veya diğer üçüncü taraftır.</w:t>
      </w:r>
    </w:p>
    <w:p>
      <w:pPr>
        <w:pStyle w:val="ListBullet"/>
      </w:pPr>
      <w:r>
        <w:t>Yolcu: E Acente aracılığıyla Ürün satın alan son kullanıcı veya katılımcıdır.</w:t>
      </w:r>
    </w:p>
    <w:p>
      <w:pPr>
        <w:pStyle w:val="Heading1"/>
        <w:keepNext/>
      </w:pPr>
      <w:r>
        <w:t>Madde 2 - Konu ve Hukuki Nitelik</w:t>
      </w:r>
    </w:p>
    <w:p>
      <w:pPr>
        <w:keepLines/>
        <w:spacing w:after="120"/>
      </w:pPr>
      <w:r>
        <w:t>Sözleşmenin konusu, Sistem Sağlayıcının Platformu E Acentenin yurt içi ve yurt dışı paket tur, cruise, kabin, konaklama, transfer, vize, sigorta, uçak bileti/ulaşım ve turla bağlantılı seçilmiş ek hizmetlerinin B2B satışında kullanıma açması ile Tarafların hak ve yükümlülüklerinin belirlenmesidir. Uçak bileti ve konaklama hizmetleri, ancak Platformda satışa açıldığı andan itibaren bu Sözleşme kapsamındadır. Bu Sözleşme ortaklık, işçi işveren, münhasır bayilik veya temsil ilişkisi kurmaz. E Acente bağımsız olarak faaliyet gösterir. Sistem Sağlayıcı aynı bölgede başka acentelerle de çalışabilir.</w:t>
      </w:r>
    </w:p>
    <w:p>
      <w:pPr>
        <w:keepLines/>
        <w:spacing w:after="120"/>
      </w:pPr>
      <w:r>
        <w:t>E Acente, Sistem Sağlayıcı adına Ürün koşullarını değiştiremez, Platformda yer almayan hizmet veya fiyat taahhüdünde bulunamaz ve Sistem Sağlayıcının önceden yazılı onayı olmadan temsil yetkisi varmış izlenimi yaratamaz.</w:t>
      </w:r>
    </w:p>
    <w:p>
      <w:pPr>
        <w:pStyle w:val="Heading1"/>
        <w:keepNext/>
      </w:pPr>
      <w:r>
        <w:t>Madde 3 - Üyelik, Kullanıcı Yetkisi ve Güvenlik</w:t>
      </w:r>
    </w:p>
    <w:p>
      <w:pPr>
        <w:keepLines/>
        <w:spacing w:after="120"/>
      </w:pPr>
      <w:r>
        <w:t>E Acente başvuru belgelerini doğru ve güncel sunar. Sistem Sağlayıcı gerekli inceleme sonucunda üyeliği onaylayabilir, ek belge isteyebilir veya başvuruyu reddedebilir. E Acente yönetici kullanıcısı ile tüm alt kullanıcıların işlem, yetki ve şifre güvenliğinden sorumludur. Yetkisiz erişim şüphesi derhal bildirilir; Sistem Sağlayıcı hesabı geçici olarak askıya alabilir. Platform logları ve elektronik kayıtlar, mevzuatın izin verdiği ölçüde delil niteliğindedir.</w:t>
      </w:r>
    </w:p>
    <w:p>
      <w:pPr>
        <w:pStyle w:val="Heading1"/>
        <w:keepNext/>
      </w:pPr>
      <w:r>
        <w:t>Madde 4 - Tur ve Cruise Ürünleri</w:t>
      </w:r>
    </w:p>
    <w:p>
      <w:pPr>
        <w:keepLines/>
        <w:spacing w:after="120"/>
      </w:pPr>
      <w:r>
        <w:t>E Acente, satıştan önce programı, dahil ve hariç hizmetleri, kabin/oda türünü, liman ve rota bilgilerini, pasaport-vize koşullarını, yaş/sağlık kısıtlarını ve özel şartları Yolcuya açık biçimde bildirir. Cruise ürünlerinde gemi şirketi, liman, taşıyıcı ve Sağlayıcı koşulları; kabin kategorisi, liman vergileri, servis ücretleri, rota ve saat değişiklikleri ile online check-in kuralları bakımından uygulanır. Yolcu lehine emredici mevzuat saklıdır.</w:t>
      </w:r>
    </w:p>
    <w:p>
      <w:pPr>
        <w:pStyle w:val="Heading1"/>
        <w:keepNext/>
      </w:pPr>
      <w:r>
        <w:t>Madde 5 - Fiyat, Kontenjan ve Rezervasyon</w:t>
      </w:r>
    </w:p>
    <w:p>
      <w:pPr>
        <w:keepLines/>
        <w:spacing w:after="120"/>
      </w:pPr>
      <w:r>
        <w:t>Platformdaki fiyatlar ve kontenjanlar anlık Sağlayıcı koşullarına bağlıdır. Kesin rezervasyon, ilgili Ürünün elektronik veya yazılı onayıyla ve Ürün koşullarında aksi belirtilmedikçe bedelin tamamının tahsiliyle oluşur. Depozito, opsiyon veya taksit imkânı tanınan Ürünlerde ilgili Platform koşulları uygulanır. E Acente; Yolcunun ad soyad, doğum tarihi, vatandaşlık, T.C. kimlik numarası (gerektiğinde), pasaport, iletişim, vize evrakı, cinsiyet, oda/kabin yerleşimi, uçuş ve diğer tercih bilgilerini doğru ve eksiksiz girmekle yükümlüdür. Opsiyon, ödeme, iptal ve değişiklik süreleri ilgili Ürün satış koşullarına tabidir.</w:t>
      </w:r>
    </w:p>
    <w:p>
      <w:pPr>
        <w:pStyle w:val="Heading1"/>
        <w:keepNext/>
      </w:pPr>
      <w:r>
        <w:t>Madde 6 - Komisyon, Tahsilat ve Faturalama</w:t>
      </w:r>
    </w:p>
    <w:p>
      <w:pPr>
        <w:keepLines/>
        <w:spacing w:after="120"/>
      </w:pPr>
      <w:r>
        <w:t>Komisyon, net fiyat, vade, limit, teminat, iade ve mahsup esasları Ürün, Sağlayıcı veya E Acente bazında Platformda ya da yazılı ticari model ekinde belirlenir. Sistem Sağlayıcı komisyon oranını ürün, dönem, kontenjan, piyasa ve satış hacmine göre güncelleyebilir; güncelleme ilgili yeni rezervasyonlar için Platformda duyurulduğu anda geçerlidir. E Acente, kesinleşen rezervasyonun net borcunu belirtilen vade ve ödeme yöntemiyle öder.</w:t>
      </w:r>
    </w:p>
    <w:p>
      <w:pPr>
        <w:keepLines/>
        <w:spacing w:after="120"/>
      </w:pPr>
      <w:r>
        <w:t>Ürün veya ticari modelde farklı bir vade yazmıyorsa, E Acentenin komisyon hak edişi; ilgili hizmetin tamamlanması veya cruise seyahatinin sona ermesi, bedelin tahsili ve komisyon faturası ile gerekli voucher/alındı belgelerinin sunulmasından sonra, takip eden en geç 14 iş günü içinde hesaplanır ve ödenir. E Acentenin kendi getirdiği özel grup veya kurumsal organizasyonlarda komisyon ya da net fiyat, teklif onayında ayrıca belirlenir. Taraflar kendi vergi, fatura, beyan ve kayıt yükümlülüklerinden sorumludur.</w:t>
      </w:r>
    </w:p>
    <w:p>
      <w:pPr>
        <w:keepLines/>
        <w:spacing w:after="120"/>
      </w:pPr>
      <w:r>
        <w:t>Ödemeler Platformun kabul ettiği kartlı ödeme, banka havalesi veya Sistem Sağlayıcının yazılı olarak onayladığı diğer yöntemle yapılır. Nakit tahsilat ancak önceden yazılı yetkilendirme ile kabul edilir. Temerrüt, iade riski, chargeback, şüpheli işlem veya teminat açığında Sistem Sağlayıcı yeni satış, voucher veya hizmet teslimini durdurabilir.</w:t>
      </w:r>
    </w:p>
    <w:p>
      <w:pPr>
        <w:pStyle w:val="Heading1"/>
        <w:keepNext/>
      </w:pPr>
      <w:r>
        <w:t>Madde 7 - Yolcuya Karşı Bilgilendirme ve Belgeler</w:t>
      </w:r>
    </w:p>
    <w:p>
      <w:pPr>
        <w:keepLines/>
        <w:spacing w:after="120"/>
      </w:pPr>
      <w:r>
        <w:t>E Acente, yalnızca güncel ve onaylı içerikle tanıtım yapar; yanıltıcı fiyat, garanti, rota veya vize beyanında bulunmaz. Sosyal medya, internet sitesi ve diğer tanıtım mecralarında Sistem Sağlayıcıya ait unvan, marka, fiyat, görsel ve ürün bilgisini yanıltıcı biçimde değiştiremez; yalnızca onaylı materyalleri kullanır. Yolcuya mevzuatın gerektirdiği ön bilgilendirme, paket tur sözleşmesi, voucher, ödeme belgesi, iptal koşulu ve aydınlatma metinlerini zamanında sunar; onay kayıtlarını saklar. Voucher, makbuz, sözleşme ve Platformun oluşturduğu belgeler üzerinde Sistem Sağlayıcının yazılı onayı olmaksızın tahrifat veya ilave yapılamaz. Yolcu şikâyet ve taleplerini gecikmeksizin Sistem Sağlayıcıya aktarır.</w:t>
      </w:r>
    </w:p>
    <w:p>
      <w:pPr>
        <w:pStyle w:val="Heading1"/>
        <w:keepNext/>
      </w:pPr>
      <w:r>
        <w:t>Madde 8 - İptal, İade ve Mücbir Sebep</w:t>
      </w:r>
    </w:p>
    <w:p>
      <w:pPr>
        <w:keepLines/>
        <w:spacing w:after="120"/>
      </w:pPr>
      <w:r>
        <w:t>İptal, değişiklik, no-show, isim düzeltme, iade ve ceza koşullarında ilgili Ürün satış koşulları ve emredici mevzuat uygulanır. Savaş, salgın, doğal afet, resmi makam kararı, grev, liman/hava sahası kapanması, olumsuz hava koşulları, taşıma iptali veya benzeri kontrol dışı olaylarda Tarafların yükümlülükleri ilgili mevzuat ve Sağlayıcı koşullarına göre değerlendirilir.</w:t>
      </w:r>
    </w:p>
    <w:p>
      <w:pPr>
        <w:pStyle w:val="Heading1"/>
        <w:keepNext/>
      </w:pPr>
      <w:r>
        <w:t>Madde 9 - Kişisel Veriler ve Gizlilik</w:t>
      </w:r>
    </w:p>
    <w:p>
      <w:pPr>
        <w:keepLines/>
        <w:spacing w:after="120"/>
      </w:pPr>
      <w:r>
        <w:t>Taraflar, işledikleri kişisel veriler bakımından 6698 sayılı Kanun ve ilgili mevzuata uyar. Somut işleme faaliyetine göre veri sorumlusu, birlikte veri sorumlusu veya veri işleyen rolleri ayrıca belirlenir; gerekli hallerde veri işleme ve yurt dışı aktarım ek protokolü imzalanır. Taraflar ticari, finansal, müşteri, fiyat, kontenjan ve teknik bilgileri gizli tutar; bu yükümlülük sözleşmenin sona ermesinden sonra beş yıl devam eder.</w:t>
      </w:r>
    </w:p>
    <w:p>
      <w:pPr>
        <w:pStyle w:val="Heading1"/>
        <w:keepNext/>
      </w:pPr>
      <w:r>
        <w:t>Madde 10 - Fikri Mülkiyet ve Marka</w:t>
      </w:r>
    </w:p>
    <w:p>
      <w:pPr>
        <w:keepLines/>
        <w:spacing w:after="120"/>
      </w:pPr>
      <w:r>
        <w:t>Platform, yazılım, içerik, veri, tasarım ve markalar üzerindeki haklar ilgili hak sahibine aittir. E Acente bunları yalnızca satış faaliyeti için kullanabilir; tersine mühendislik, veri kazıma, otomatik sorgu, yetkisiz entegrasyon, içerik kopyalama veya yanıltıcı marka kullanımı yapamaz.</w:t>
      </w:r>
    </w:p>
    <w:p>
      <w:pPr>
        <w:pStyle w:val="Heading1"/>
        <w:keepNext/>
      </w:pPr>
      <w:r>
        <w:t>Madde 11 - Uyum, Denetim ve Askıya Alma</w:t>
      </w:r>
    </w:p>
    <w:p>
      <w:pPr>
        <w:keepLines/>
        <w:spacing w:after="120"/>
      </w:pPr>
      <w:r>
        <w:t>E Acente kendisine uygulanabilir seyahat acentalığı, tüketici, paket tur, ticari iletişim, kişisel veri, ödeme, vergi ve yaptırım mevzuatına uygun hareket eder. Sistem Sağlayıcı, uyum ve risk incelemesi için belge isteyebilir. Dolandırıcılık şüphesi, yetkisiz kullanım, ödeme temerrüdü, yanlış tanıtım veya veri güvenliği riski halinde erişim geçici olarak askıya alınabilir.</w:t>
      </w:r>
    </w:p>
    <w:p>
      <w:pPr>
        <w:keepLines/>
        <w:spacing w:after="120"/>
      </w:pPr>
      <w:r>
        <w:t>E Acente, Platform aracılığıyla öğrendiği müşteri, talep, fiyat, kontenjan veya Sağlayıcı bağlantısını Platformu devre dışı bırakarak ve Sistem Sağlayıcının komisyon/hak edişini bertaraf edecek şekilde doğrudan satışa dönüştüremez. Bu ihlalin makul emarelerle tespiti hâlinde Sistem Sağlayıcı hesabı askıya alabilir, sözleşmeyi feshedebilir ve E Acentenin kusurundan doğan doğrudan zararlarını talep edebilir.</w:t>
      </w:r>
    </w:p>
    <w:p>
      <w:pPr>
        <w:pStyle w:val="Heading1"/>
        <w:keepNext/>
      </w:pPr>
      <w:r>
        <w:t>Madde 12 - Sorumluluk ve Tazmin</w:t>
      </w:r>
    </w:p>
    <w:p>
      <w:pPr>
        <w:keepLines/>
        <w:spacing w:after="120"/>
      </w:pPr>
      <w:r>
        <w:t>Taraflar kendi kusurlarından, yanlış beyanlarından ve yetkisiz kullanıcılarından doğan doğrudan zararlardan sorumludur. Sistem Sağlayıcı, kendi kusuru bulunmadıkça Sağlayıcı, cruise hattı, taşıyıcı, liman, otel veya resmi makam kararlarından doğan zararlardan sorumlu değildir. Emredici mevzuattan doğan sorumluluklar saklıdır.</w:t>
      </w:r>
    </w:p>
    <w:p>
      <w:pPr>
        <w:keepLines/>
        <w:spacing w:after="120"/>
      </w:pPr>
      <w:r>
        <w:t>Yolcunun veya ödeme yapan kişinin kartlı işleme itiraz etmesi, işlemi inkâr etmesi ya da chargeback oluşması halinde E Acente, kendi satış ve bilgilendirme kusurundan kaynaklanan zarar, masraf, komisyon, ceza ve iade tutarlarından sorumludur. Sistem Sağlayıcı talebini makul belgeyle bildirir; E Acente, ihtilafsız veya kesinleşmiş tutarı derhal öder ya da hak edişinden mahsup edilmesini kabul eder.</w:t>
      </w:r>
    </w:p>
    <w:p>
      <w:pPr>
        <w:pStyle w:val="Heading1"/>
        <w:keepNext/>
      </w:pPr>
      <w:r>
        <w:t>Madde 13 - Süre ve Fesih</w:t>
      </w:r>
    </w:p>
    <w:p>
      <w:pPr>
        <w:keepLines/>
        <w:spacing w:after="120"/>
      </w:pPr>
      <w:r>
        <w:t>Sözleşme imza tarihinde yürürlüğe girer, bir yıl süreyle geçerlidir ve Taraflardan biri sürenin bitiminden en az 30 gün önce yazılı fesih bildiriminde bulunmadıkça birer yıllık dönemlerle uzar. Taraflardan her biri, her durumda 30 gün önceden yazılı bildirimle feshedebilir. Ağır ihlal, sahtecilik, veri ihlali, faaliyet izninin kaybı veya temerrüdün giderilmemesi halinde derhal fesih mümkündür. Fesih, daha önce kesinleşmiş ödeme, iade, gizlilik, kişisel veri ve tazmin yükümlülüklerini ortadan kaldırmaz.</w:t>
      </w:r>
    </w:p>
    <w:p>
      <w:pPr>
        <w:pStyle w:val="Heading1"/>
        <w:keepNext/>
      </w:pPr>
      <w:r>
        <w:t>Madde 14 - Bildirim ve Uyuşmazlık</w:t>
      </w:r>
    </w:p>
    <w:p>
      <w:pPr>
        <w:keepLines/>
        <w:spacing w:after="120"/>
      </w:pPr>
      <w:r>
        <w:t>Tarafların KEP, kayıtlı e-posta ve tebligat adresleri geçerlidir. Platform, e-posta, KEP ve diğer elektronik iletişim kayıtları mevzuat çerçevesinde delil olarak kullanılabilir. Sözleşmeye Türk hukuku uygulanır; ticari uyuşmazlıklarda İzmir Mahkemeleri ve İcra Daireleri yetkilidir. Emredici yetki kuralları saklıdır.</w:t>
      </w:r>
    </w:p>
    <w:p>
      <w:pPr>
        <w:pStyle w:val="Heading1"/>
        <w:keepNext/>
      </w:pPr>
      <w:r>
        <w:t>Madde 15 - Son Hükümler</w:t>
      </w:r>
    </w:p>
    <w:p>
      <w:pPr>
        <w:keepLines/>
        <w:spacing w:after="120"/>
      </w:pPr>
      <w:r>
        <w:t>Bu Sözleşme, başvuru evrak listesi ve ticari model ekleriyle birlikte Taraflar arasındaki anlaşmanın bütününü oluşturur. Yazılı veya güvenli elektronik yöntemle yapılan değişiklikler geçerlidir. Herhangi bir hükmün geçersizliği diğer hükümlerin geçerliliğini etkilemez.</w:t>
      </w:r>
    </w:p>
    <w:p>
      <w:pPr>
        <w:keepLines/>
        <w:spacing w:after="120"/>
      </w:pPr>
      <w:r>
        <w:t>İşbu Sözleşme 15 maddeden ibaret olup Taraflarca okunarak iki nüsha olarak imzalanmıştır.</w:t>
      </w:r>
    </w:p>
    <w:tbl>
      <w:tblPr>
        <w:tblW w:type="auto" w:w="0"/>
        <w:jc w:val="center"/>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929"/>
        <w:gridCol w:w="4929"/>
      </w:tblGrid>
      <w:tr>
        <w:tc>
          <w:tcPr>
            <w:tcW w:type="dxa" w:w="4929"/>
            <w:vAlign w:val="center"/>
            <w:shd w:fill="F2F4F6"/>
          </w:tcPr>
          <w:p>
            <w:pPr>
              <w:spacing w:after="40" w:before="40"/>
            </w:pPr>
            <w:r/>
            <w:r>
              <w:rPr>
                <w:rFonts w:ascii="Aptos" w:hAnsi="Aptos"/>
                <w:b/>
                <w:sz w:val="19"/>
              </w:rPr>
              <w:t>SİSTEM SAĞLAYICI</w:t>
            </w:r>
          </w:p>
        </w:tc>
        <w:tc>
          <w:tcPr>
            <w:tcW w:type="dxa" w:w="4929"/>
            <w:vAlign w:val="center"/>
            <w:shd w:fill="F2F4F6"/>
          </w:tcPr>
          <w:p>
            <w:pPr>
              <w:spacing w:after="40" w:before="40"/>
            </w:pPr>
            <w:r/>
            <w:r>
              <w:rPr>
                <w:rFonts w:ascii="Aptos" w:hAnsi="Aptos"/>
                <w:b/>
                <w:sz w:val="19"/>
              </w:rPr>
              <w:t>E ACENTE</w:t>
            </w:r>
          </w:p>
        </w:tc>
      </w:tr>
      <w:tr>
        <w:tc>
          <w:tcPr>
            <w:tcW w:type="dxa" w:w="4929"/>
            <w:vAlign w:val="center"/>
          </w:tcPr>
          <w:p>
            <w:pPr>
              <w:spacing w:after="40" w:before="40"/>
            </w:pPr>
            <w:r/>
            <w:r>
              <w:rPr>
                <w:rFonts w:ascii="Aptos" w:hAnsi="Aptos"/>
                <w:b w:val="0"/>
                <w:sz w:val="19"/>
              </w:rPr>
              <w:t>Unvan:</w:t>
              <w:br/>
              <w:t>Yetkili Ad Soyad:</w:t>
              <w:br/>
              <w:br/>
              <w:t>İmza / Kaşe:</w:t>
            </w:r>
          </w:p>
        </w:tc>
        <w:tc>
          <w:tcPr>
            <w:tcW w:type="dxa" w:w="4929"/>
            <w:vAlign w:val="center"/>
          </w:tcPr>
          <w:p>
            <w:pPr>
              <w:spacing w:after="40" w:before="40"/>
            </w:pPr>
            <w:r/>
            <w:r>
              <w:rPr>
                <w:rFonts w:ascii="Aptos" w:hAnsi="Aptos"/>
                <w:b w:val="0"/>
                <w:sz w:val="19"/>
              </w:rPr>
              <w:t>Unvan:</w:t>
              <w:br/>
              <w:t>Yetkili Ad Soyad:</w:t>
              <w:br/>
              <w:br/>
              <w:t>İmza / Kaşe:</w:t>
            </w:r>
          </w:p>
        </w:tc>
      </w:tr>
    </w:tbl>
    <w:p/>
    <w:sectPr w:rsidR="00FC693F" w:rsidRPr="0006063C" w:rsidSect="00034616">
      <w:headerReference w:type="default" r:id="rId9"/>
      <w:footerReference w:type="default" r:id="rId10"/>
      <w:pgSz w:w="12240" w:h="15840"/>
      <w:pgMar w:top="1020" w:right="1191" w:bottom="964"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5A5A"/>
        <w:sz w:val="16"/>
      </w:rPr>
      <w:t>United Tours İzmir Elektronik Acentalık Sözleşmesi</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102A43"/>
        <w:sz w:val="16"/>
      </w:rPr>
      <w:t>UNITED TOURS İZMİR  |  B2B TUR VE CRUISE AĞI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ptos" w:hAnsi="Aptos"/>
      <w:b/>
      <w:bCs/>
      <w:color w:val="000000"/>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0"/>
      <w:contextualSpacing/>
    </w:pPr>
    <w:rPr>
      <w:rFonts w:asciiTheme="majorHAnsi" w:eastAsiaTheme="majorEastAsia" w:hAnsiTheme="majorHAnsi" w:cstheme="majorBidi" w:ascii="Aptos" w:hAnsi="Aptos"/>
      <w:b/>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